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ind w:left="9926"/>
        <w:jc w:val="center"/>
      </w:pPr>
      <w:r>
        <w:t>ПРИЛОЖЕНИЕ</w:t>
      </w:r>
    </w:p>
    <w:p>
      <w:pPr>
        <w:ind w:left="9926"/>
        <w:jc w:val="center"/>
      </w:pPr>
      <w:r>
        <w:t xml:space="preserve">к протоколу заседания проектного комитета </w:t>
      </w:r>
    </w:p>
    <w:p>
      <w:pPr>
        <w:spacing w:line="240" w:lineRule="atLeast"/>
        <w:ind w:left="9926"/>
        <w:jc w:val="center"/>
      </w:pPr>
      <w:r>
        <w:t>по национальному проекту "Образование"</w:t>
      </w:r>
    </w:p>
    <w:p>
      <w:pPr>
        <w:spacing w:line="240" w:lineRule="atLeast"/>
        <w:ind w:left="9926"/>
        <w:jc w:val="center"/>
      </w:pPr>
      <w:r>
        <w:t>от  07 декабря 2018 г. № 3</w:t>
      </w:r>
      <w:bookmarkStart w:id="0" w:name="_GoBack"/>
      <w:bookmarkEnd w:id="0"/>
      <w:r>
        <w:t>   </w:t>
      </w:r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С П О Р Т</w:t>
      </w:r>
    </w:p>
    <w:p>
      <w:pPr>
        <w:jc w:val="center"/>
        <w:rPr>
          <w:b/>
        </w:rPr>
      </w:pPr>
      <w:r>
        <w:rPr>
          <w:b/>
        </w:rPr>
        <w:t>федерального проекта "Учитель будущего"</w:t>
      </w:r>
    </w:p>
    <w:p>
      <w:pPr>
        <w:spacing w:line="240" w:lineRule="atLeast"/>
      </w:pPr>
    </w:p>
    <w:p>
      <w:pPr>
        <w:spacing w:line="240" w:lineRule="atLeast"/>
        <w:jc w:val="center"/>
      </w:pPr>
      <w:r>
        <w:t>1. Основные положения</w:t>
      </w:r>
    </w:p>
    <w:p>
      <w:pPr>
        <w:spacing w:line="240" w:lineRule="atLeast"/>
      </w:pPr>
    </w:p>
    <w:p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  <w:gridCol w:w="3299"/>
        <w:gridCol w:w="3699"/>
        <w:gridCol w:w="3901"/>
      </w:tblGrid>
      <w:tr>
        <w:trPr>
          <w:trHeight w:val="20"/>
        </w:trPr>
        <w:tc>
          <w:tcPr>
            <w:tcW w:w="4665" w:type="dxa"/>
          </w:tcPr>
          <w:p>
            <w:pPr>
              <w:spacing w:before="40" w:after="40" w:line="240" w:lineRule="atLeast"/>
              <w:jc w:val="left"/>
            </w:pPr>
            <w:r>
              <w:t>Наименование проекта</w:t>
            </w:r>
          </w:p>
        </w:tc>
        <w:tc>
          <w:tcPr>
            <w:tcW w:w="10123" w:type="dxa"/>
            <w:gridSpan w:val="3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Образование</w:t>
            </w:r>
          </w:p>
        </w:tc>
      </w:tr>
      <w:tr>
        <w:trPr>
          <w:trHeight w:val="20"/>
        </w:trPr>
        <w:tc>
          <w:tcPr>
            <w:tcW w:w="4665" w:type="dxa"/>
          </w:tcPr>
          <w:p>
            <w:pPr>
              <w:spacing w:before="40" w:after="40" w:line="240" w:lineRule="atLeast"/>
              <w:jc w:val="left"/>
            </w:pPr>
            <w:r>
              <w:t>Краткое наименование федерального проекта</w:t>
            </w:r>
          </w:p>
        </w:tc>
        <w:tc>
          <w:tcPr>
            <w:tcW w:w="3064" w:type="dxa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"Учитель будущего"</w:t>
            </w:r>
          </w:p>
        </w:tc>
        <w:tc>
          <w:tcPr>
            <w:tcW w:w="3436" w:type="dxa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Срок начала и окончания</w:t>
            </w:r>
          </w:p>
        </w:tc>
        <w:tc>
          <w:tcPr>
            <w:tcW w:w="3623" w:type="dxa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 xml:space="preserve">1 января 2019 г. - </w:t>
            </w:r>
            <w:r>
              <w:br/>
              <w:t>31 декабря 2024 г.</w:t>
            </w:r>
          </w:p>
        </w:tc>
      </w:tr>
      <w:tr>
        <w:trPr>
          <w:trHeight w:val="20"/>
        </w:trPr>
        <w:tc>
          <w:tcPr>
            <w:tcW w:w="4665" w:type="dxa"/>
          </w:tcPr>
          <w:p>
            <w:pPr>
              <w:spacing w:before="40" w:after="40" w:line="240" w:lineRule="atLeast"/>
              <w:jc w:val="left"/>
            </w:pPr>
            <w:r>
              <w:t>Куратор федерального проекта</w:t>
            </w:r>
          </w:p>
        </w:tc>
        <w:tc>
          <w:tcPr>
            <w:tcW w:w="10123" w:type="dxa"/>
            <w:gridSpan w:val="3"/>
          </w:tcPr>
          <w:p>
            <w:pPr>
              <w:spacing w:before="40" w:after="40" w:line="240" w:lineRule="atLeast"/>
              <w:jc w:val="left"/>
            </w:pPr>
            <w:r>
              <w:t>Т.А.Голикова, заместитель Председателя Правительства Российской Федерации</w:t>
            </w:r>
          </w:p>
        </w:tc>
      </w:tr>
      <w:tr>
        <w:trPr>
          <w:trHeight w:val="20"/>
        </w:trPr>
        <w:tc>
          <w:tcPr>
            <w:tcW w:w="4665" w:type="dxa"/>
          </w:tcPr>
          <w:p>
            <w:pPr>
              <w:spacing w:before="40" w:after="40" w:line="240" w:lineRule="atLeast"/>
              <w:jc w:val="left"/>
            </w:pPr>
            <w:r>
              <w:t>Руководитель федерального проекта</w:t>
            </w:r>
          </w:p>
        </w:tc>
        <w:tc>
          <w:tcPr>
            <w:tcW w:w="10123" w:type="dxa"/>
            <w:gridSpan w:val="3"/>
          </w:tcPr>
          <w:p>
            <w:pPr>
              <w:spacing w:before="40" w:after="40" w:line="240" w:lineRule="atLeast"/>
              <w:jc w:val="left"/>
            </w:pPr>
            <w:r>
              <w:t>М.Н.Ракова, заместитель Министра просвещения Российской Федерации</w:t>
            </w:r>
          </w:p>
        </w:tc>
      </w:tr>
      <w:tr>
        <w:trPr>
          <w:trHeight w:val="20"/>
        </w:trPr>
        <w:tc>
          <w:tcPr>
            <w:tcW w:w="4665" w:type="dxa"/>
          </w:tcPr>
          <w:p>
            <w:pPr>
              <w:spacing w:before="40" w:after="40" w:line="240" w:lineRule="atLeast"/>
              <w:jc w:val="left"/>
            </w:pPr>
            <w:r>
              <w:t>Администратор федерального проекта</w:t>
            </w:r>
          </w:p>
        </w:tc>
        <w:tc>
          <w:tcPr>
            <w:tcW w:w="10123" w:type="dxa"/>
            <w:gridSpan w:val="3"/>
          </w:tcPr>
          <w:p>
            <w:pPr>
              <w:spacing w:before="40" w:after="40" w:line="240" w:lineRule="atLeast"/>
              <w:jc w:val="left"/>
            </w:pPr>
            <w:r>
              <w:t>А.В.Хамардюк, 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</w:tr>
      <w:tr>
        <w:trPr>
          <w:trHeight w:val="20"/>
        </w:trPr>
        <w:tc>
          <w:tcPr>
            <w:tcW w:w="4665" w:type="dxa"/>
          </w:tcPr>
          <w:p>
            <w:pPr>
              <w:spacing w:before="40" w:after="40" w:line="240" w:lineRule="atLeast"/>
              <w:jc w:val="left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10123" w:type="dxa"/>
            <w:gridSpan w:val="3"/>
          </w:tcPr>
          <w:p>
            <w:pPr>
              <w:spacing w:before="40" w:after="40" w:line="240" w:lineRule="atLeast"/>
              <w:jc w:val="left"/>
            </w:pPr>
            <w:r>
              <w:t>Государственная программа Российской Федерации "Развитие образования"</w:t>
            </w:r>
          </w:p>
        </w:tc>
      </w:tr>
    </w:tbl>
    <w:p>
      <w:pPr>
        <w:spacing w:line="240" w:lineRule="atLeast"/>
        <w:rPr>
          <w:b/>
        </w:rPr>
      </w:pPr>
    </w:p>
    <w:p>
      <w:pPr>
        <w:spacing w:line="240" w:lineRule="atLeast"/>
        <w:jc w:val="center"/>
      </w:pPr>
      <w:r>
        <w:br w:type="page"/>
      </w:r>
      <w:r>
        <w:lastRenderedPageBreak/>
        <w:t>2. Цель и показатели федерального проекта</w:t>
      </w:r>
    </w:p>
    <w:p>
      <w:pPr>
        <w:spacing w:line="240" w:lineRule="atLeast"/>
      </w:pPr>
    </w:p>
    <w:p>
      <w:pPr>
        <w:ind w:firstLine="709"/>
      </w:pPr>
      <w:r>
        <w:t xml:space="preserve">Цель: обеспечение вхождения Российской Федерации в число 10 ведущих стран мира по качеству общего образования к 2024 году путем внедрения </w:t>
      </w:r>
      <w:r>
        <w:rPr>
          <w:i/>
        </w:rPr>
        <w:t>национальной системы профессионального роста педагогических работников</w:t>
      </w:r>
      <w:r>
        <w:t xml:space="preserve">, охватывающей не менее 50 процентов учителей общеобразовательных организаций </w:t>
      </w:r>
    </w:p>
    <w:p>
      <w:pPr>
        <w:spacing w:line="240" w:lineRule="atLeas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1"/>
        <w:gridCol w:w="5120"/>
        <w:gridCol w:w="2132"/>
        <w:gridCol w:w="1564"/>
        <w:gridCol w:w="1325"/>
        <w:gridCol w:w="830"/>
        <w:gridCol w:w="942"/>
        <w:gridCol w:w="748"/>
        <w:gridCol w:w="831"/>
        <w:gridCol w:w="830"/>
        <w:gridCol w:w="839"/>
      </w:tblGrid>
      <w:tr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trHeight w:val="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709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5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      </w:r>
          </w:p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455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lang w:val="en-US"/>
              </w:rPr>
              <w:t>,5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 декабря 2015 г.</w:t>
            </w:r>
          </w:p>
        </w:tc>
        <w:tc>
          <w:tcPr>
            <w:tcW w:w="772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877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7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773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772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781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709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5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Доля учителей общеобразовательных организаций, вовлеченных в </w:t>
            </w:r>
            <w:r>
              <w:rPr>
                <w:i/>
                <w:sz w:val="24"/>
              </w:rPr>
              <w:t>национальную систему профессионального роста педагогических работников</w:t>
            </w:r>
            <w:r>
              <w:rPr>
                <w:sz w:val="24"/>
              </w:rPr>
              <w:t xml:space="preserve">, процент </w:t>
            </w:r>
          </w:p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0"/>
        </w:trPr>
        <w:tc>
          <w:tcPr>
            <w:tcW w:w="709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5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Доля субъектов Российской Федерации, обеспечивших деятельность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 xml:space="preserve"> и центров оценки профессионального мастерства и квалификаций педагогов, процент</w:t>
            </w:r>
          </w:p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57,3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76,6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0"/>
        </w:trPr>
        <w:tc>
          <w:tcPr>
            <w:tcW w:w="709" w:type="dxa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5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spacing w:line="240" w:lineRule="atLeast"/>
        <w:rPr>
          <w:b/>
        </w:rPr>
      </w:pPr>
    </w:p>
    <w:p>
      <w:pPr>
        <w:spacing w:line="240" w:lineRule="atLeast"/>
        <w:jc w:val="center"/>
      </w:pPr>
      <w:r>
        <w:br w:type="page"/>
      </w:r>
      <w:r>
        <w:lastRenderedPageBreak/>
        <w:t>3. Задачи и результаты федерального проекта</w:t>
      </w:r>
    </w:p>
    <w:p>
      <w:pPr>
        <w:spacing w:line="240" w:lineRule="atLeas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9"/>
        <w:gridCol w:w="6942"/>
        <w:gridCol w:w="8021"/>
      </w:tblGrid>
      <w:tr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задачи, результата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результата</w:t>
            </w:r>
          </w:p>
        </w:tc>
      </w:tr>
      <w:tr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49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963" w:type="dxa"/>
            <w:gridSpan w:val="2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Внедрение </w:t>
            </w:r>
            <w:r>
              <w:rPr>
                <w:i/>
                <w:sz w:val="24"/>
              </w:rPr>
              <w:t>национальной системы профессионального роста педагогических работников</w:t>
            </w:r>
            <w:r>
              <w:rPr>
                <w:sz w:val="24"/>
              </w:rPr>
              <w:t>, охватывающей не менее 50 процентов учителей общеобразовательных организаций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 федеральные нормативные правовые акты, регламентирующие действие с 1 июня 2020 г. во всех субъектах Российской Федерации системы аттестации руководителей общеобразовательных организаций, которая позволяет:</w:t>
            </w:r>
            <w:r>
              <w:rPr>
                <w:sz w:val="24"/>
              </w:rPr>
              <w:br/>
              <w:t>сформировать эффективную систему отбора кандидатов на должность руководителей общеобразовательных организаций, а также систему кадрового резерва руководителей общеобразовательных организаций;</w:t>
            </w:r>
            <w:r>
              <w:rPr>
                <w:sz w:val="24"/>
              </w:rPr>
              <w:br/>
              <w:t>повысить эффективность образовательной, финансово-хозяйственной, организационной деятельности общеобразовательных организаций через разработку и реализацию программ развития образовательных организаций;</w:t>
            </w:r>
            <w:proofErr w:type="gramEnd"/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  <w:r>
              <w:rPr>
                <w:sz w:val="24"/>
              </w:rPr>
              <w:br/>
              <w:t>установить соответствие уровня квалификации кандидатов на должность руководителя общеобразовательной организации требованиям, предъявляемым к занимаемой должности;</w:t>
            </w:r>
            <w:r>
              <w:rPr>
                <w:sz w:val="24"/>
              </w:rPr>
              <w:br/>
              <w:t>выявлять приоритетные направления повышения квалификации и профессиональной переподготовки руководителей и кандидатов на должность руководителя общеобразовательной организации;</w:t>
            </w:r>
            <w:r>
              <w:rPr>
                <w:sz w:val="24"/>
              </w:rPr>
              <w:br/>
              <w:t>проводить ежегодный мониторинг результатов аттестационных процедур руководителей общеобразовательных организаций.</w:t>
            </w:r>
            <w:proofErr w:type="gramEnd"/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</w:t>
            </w:r>
            <w:r>
              <w:rPr>
                <w:sz w:val="24"/>
              </w:rPr>
              <w:lastRenderedPageBreak/>
              <w:t xml:space="preserve">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 1 сентября 2024 г. во всех субъектах Российской Федерации внедрена система непрерывного и планомерного повышения квалификации педагогических работников, которая позволяет:</w:t>
            </w:r>
            <w:r>
              <w:rPr>
                <w:sz w:val="24"/>
              </w:rPr>
              <w:br/>
              <w:t xml:space="preserve">обеспечить доступность для каждого педагогического работника </w:t>
            </w:r>
            <w:r>
              <w:rPr>
                <w:sz w:val="24"/>
              </w:rPr>
              <w:lastRenderedPageBreak/>
              <w:t xml:space="preserve">качественного дополнительного профессионального образования по профилю педагогической деятельности с учетом его </w:t>
            </w:r>
            <w:r>
              <w:rPr>
                <w:i/>
                <w:sz w:val="24"/>
              </w:rPr>
              <w:t>профессиональных дефицитов</w:t>
            </w:r>
            <w:r>
              <w:rPr>
                <w:sz w:val="24"/>
              </w:rPr>
              <w:t xml:space="preserve"> и интересов, а также требований работодателей;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  <w:r>
              <w:rPr>
                <w:sz w:val="24"/>
              </w:rPr>
              <w:br/>
              <w:t xml:space="preserve">обеспечить единые принципы организации и планирования повышения квалификации педагогических работников во всех субъектах Российской Федерации; </w:t>
            </w:r>
            <w:r>
              <w:rPr>
                <w:sz w:val="24"/>
              </w:rPr>
              <w:br/>
              <w:t>стимулировать участие педагогических работников в деятельности профессиональных ассоциаций;</w:t>
            </w:r>
            <w:r>
              <w:rPr>
                <w:sz w:val="24"/>
              </w:rPr>
              <w:br/>
              <w:t xml:space="preserve">поддерживать развитие </w:t>
            </w:r>
            <w:r>
              <w:rPr>
                <w:i/>
                <w:sz w:val="24"/>
              </w:rPr>
              <w:t>"горизонтального обучения"</w:t>
            </w:r>
            <w:r>
              <w:rPr>
                <w:sz w:val="24"/>
              </w:rPr>
              <w:t xml:space="preserve"> среди педагогических работников, в том числе на основе обмена опытом;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обеспечить возможность использования в педагогической практике подтвердивших эффективность методик и технологий обучения;</w:t>
            </w:r>
            <w:r>
              <w:rPr>
                <w:sz w:val="24"/>
              </w:rPr>
              <w:br/>
              <w:t xml:space="preserve">обеспечить опережающее обучение новым образовательным технологиям, внедрение различных форматов электронного образования; в том числе мероприятий по повышению квалификации учителей, работающих с талантливыми детьми. </w:t>
            </w:r>
            <w:r>
              <w:rPr>
                <w:sz w:val="24"/>
              </w:rPr>
              <w:br/>
              <w:t>Кроме того, в рамках достижения результата будет разработана и реализована концепция обновления содержания и технологий педагогического образования.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5 процентов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</w:t>
            </w:r>
            <w:r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 концу 2020 года не менее 5 процентов педагогических работников системы общего, дополнительного образования детей и профессионального образования 19 субъектов Российской Федерации прошли обучение, в том числе с использованием дистанционных технологий, в рамках </w:t>
            </w:r>
            <w:r>
              <w:rPr>
                <w:i/>
                <w:sz w:val="24"/>
              </w:rPr>
              <w:t>национальной системы профессионального роста педагогических работников</w:t>
            </w:r>
            <w:r>
              <w:rPr>
                <w:sz w:val="24"/>
              </w:rPr>
              <w:t xml:space="preserve">  на базе не менее 57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>, являющихся юридическими лицами либо структурными подразделениями организаций, осуществляющих образовательную</w:t>
            </w:r>
            <w:proofErr w:type="gramEnd"/>
            <w:r>
              <w:rPr>
                <w:sz w:val="24"/>
              </w:rPr>
              <w:t xml:space="preserve"> деятельность по образовательным </w:t>
            </w:r>
            <w:r>
              <w:rPr>
                <w:sz w:val="24"/>
              </w:rPr>
              <w:lastRenderedPageBreak/>
              <w:t xml:space="preserve">программам высшего образования или/и по образовательным программам дополнительного профессионального образования, организующих и осуществляющих </w:t>
            </w:r>
            <w:r>
              <w:rPr>
                <w:i/>
                <w:sz w:val="24"/>
              </w:rPr>
              <w:t>непрерывное образование педагогических работников</w:t>
            </w:r>
            <w:r>
              <w:rPr>
                <w:sz w:val="24"/>
              </w:rPr>
              <w:t xml:space="preserve"> с учетом анализа их потребностей в освоении компетенций. Формируемая сеть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 xml:space="preserve"> обеспечивает:</w:t>
            </w:r>
            <w:r>
              <w:rPr>
                <w:sz w:val="24"/>
              </w:rPr>
              <w:br/>
              <w:t>актуализацию профессиональных знаний, умений, навыков и компетенций педагогических работников;</w:t>
            </w:r>
            <w:r>
              <w:rPr>
                <w:sz w:val="24"/>
              </w:rPr>
              <w:br/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  <w:r>
              <w:rPr>
                <w:sz w:val="24"/>
              </w:rPr>
              <w:br/>
              <w:t>организацию подготовки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  <w:r>
              <w:rPr>
                <w:sz w:val="24"/>
              </w:rPr>
              <w:br/>
              <w:t xml:space="preserve">внедрение в образовательный процесс современных технологий обучения и воспитания, в том числе проектных форм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обучающимися;</w:t>
            </w:r>
            <w:r>
              <w:rPr>
                <w:sz w:val="24"/>
              </w:rPr>
              <w:br/>
              <w:t xml:space="preserve">повышение качества знаний, получаемых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>
              <w:rPr>
                <w:i/>
                <w:sz w:val="24"/>
              </w:rPr>
              <w:t>международных исследованиях</w:t>
            </w:r>
            <w:r>
              <w:rPr>
                <w:sz w:val="24"/>
              </w:rPr>
              <w:t xml:space="preserve"> качества образования (PISA, TIMSS, PIRLS). 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Введена </w:t>
            </w:r>
            <w:r>
              <w:rPr>
                <w:i/>
                <w:sz w:val="24"/>
              </w:rPr>
              <w:t>национальная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 учительского роста</w:t>
            </w:r>
            <w:r>
              <w:rPr>
                <w:sz w:val="24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Внедрена к концу 2020 года </w:t>
            </w:r>
            <w:r>
              <w:rPr>
                <w:i/>
                <w:sz w:val="24"/>
              </w:rPr>
              <w:t>национальная система учительского роста</w:t>
            </w:r>
            <w:r>
              <w:rPr>
                <w:sz w:val="24"/>
              </w:rPr>
              <w:t xml:space="preserve"> (НСУР), актуализированы и апробированы до 2024 года конкурсы профессионального мастерства, учитываемые в процессе аттестации учителей на квалификационную категорию по новым должностям наряду с положительной динамикой учебных результатов обучающихся. </w:t>
            </w:r>
            <w:proofErr w:type="gramStart"/>
            <w:r>
              <w:rPr>
                <w:sz w:val="24"/>
              </w:rPr>
              <w:t xml:space="preserve">НСУР, реализующаяся на базе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</w:t>
            </w:r>
            <w:r>
              <w:rPr>
                <w:sz w:val="24"/>
              </w:rPr>
              <w:t xml:space="preserve">, являющихся юридическими лицами, осуществляющими независимую оценку квалификаций руководящих и </w:t>
            </w:r>
            <w:r>
              <w:rPr>
                <w:sz w:val="24"/>
              </w:rPr>
              <w:lastRenderedPageBreak/>
              <w:t>педагогических работников (с рекомендацией учитывать результаты при проведении процедуры аттестации) в рамках реализации Федерального закона "О независимой оценке квалификации" от 3 июля 2016 г. № 238, позволяет:</w:t>
            </w:r>
            <w:r>
              <w:rPr>
                <w:sz w:val="24"/>
              </w:rPr>
              <w:br/>
              <w:t>нормативно установить номенклатуру должностей педагогических работников и руководителей образовательных организаций;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внести соответствующие номенклатуре должностей дополнения на основе методических рекомендаций Минпросвещения России в нормативную базу, регламентирующую систему оплаты труда в каждом регионе Российской Федерации;</w:t>
            </w:r>
            <w:r>
              <w:rPr>
                <w:sz w:val="24"/>
              </w:rPr>
              <w:br/>
              <w:t>выстроить систему карьерного роста педагогических работников и руководителей образовательных организаций;</w:t>
            </w:r>
            <w:r>
              <w:rPr>
                <w:sz w:val="24"/>
              </w:rPr>
              <w:br/>
              <w:t xml:space="preserve">повысить мотивацию к повышению профессионального мастерства педагогических работников; </w:t>
            </w:r>
            <w:r>
              <w:rPr>
                <w:sz w:val="24"/>
              </w:rPr>
              <w:br/>
              <w:t>сохранить все предусмотренные действующим федеральным и региональным законодательством социальные гарантии при введении новых должностей педагогических работников.</w:t>
            </w:r>
            <w:proofErr w:type="gramEnd"/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10 процентов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</w:t>
            </w:r>
            <w:r>
              <w:rPr>
                <w:i/>
                <w:sz w:val="24"/>
              </w:rPr>
              <w:t>непрерывного образования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 концу 2021 года не менее 10 процентов педагогических работников системы общего, дополнительного образования детей и профессионального образования из 34 субъектов Российской Федерации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не менее 102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работников.</w:t>
            </w:r>
            <w:proofErr w:type="gramEnd"/>
            <w:r>
              <w:rPr>
                <w:sz w:val="24"/>
              </w:rPr>
              <w:t xml:space="preserve"> Формируемая сеть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 xml:space="preserve"> обеспечивает:</w:t>
            </w:r>
            <w:r>
              <w:rPr>
                <w:sz w:val="24"/>
              </w:rPr>
              <w:br/>
              <w:t>актуализацию профессиональных знаний, умений, навыков и компетенций педагогических работников;</w:t>
            </w:r>
            <w:r>
              <w:rPr>
                <w:sz w:val="24"/>
              </w:rPr>
              <w:br/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>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субъектами Российской Федерации;</w:t>
            </w:r>
            <w:r>
              <w:rPr>
                <w:sz w:val="24"/>
              </w:rPr>
              <w:br/>
              <w:t xml:space="preserve">внедрение в образовательный процесс современных технологий обучения и воспитания, в том числе проектных форм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обучающимися;</w:t>
            </w:r>
            <w:r>
              <w:rPr>
                <w:sz w:val="24"/>
              </w:rPr>
              <w:br/>
              <w:t xml:space="preserve">повышение качества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>
              <w:rPr>
                <w:i/>
                <w:sz w:val="24"/>
              </w:rPr>
              <w:t>международных исследованиях</w:t>
            </w:r>
            <w:r>
              <w:rPr>
                <w:sz w:val="24"/>
              </w:rPr>
              <w:t xml:space="preserve"> качества образования (PISA, TIMSS, PIRLS)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Не менее 20 процентов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  <w:r>
              <w:rPr>
                <w:sz w:val="24"/>
              </w:rPr>
              <w:br/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 концу 2022 года не менее 20 процентов педагогических работников системы общего, дополнительного образования детей  и профессионального образования 49 субъектов Российской Федерации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не менее 147 центров непрерывного </w:t>
            </w:r>
            <w:r>
              <w:rPr>
                <w:i/>
                <w:sz w:val="24"/>
              </w:rPr>
              <w:t>повышения профессионального мастерства педагогических работников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Формируемая сеть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 xml:space="preserve"> обеспечивает:</w:t>
            </w:r>
            <w:r>
              <w:rPr>
                <w:sz w:val="24"/>
              </w:rPr>
              <w:br/>
              <w:t>актуализацию профессиональных знаний, умений, навыков и компетенций педагогических работников;</w:t>
            </w:r>
            <w:r>
              <w:rPr>
                <w:sz w:val="24"/>
              </w:rPr>
              <w:br/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  <w:r>
              <w:rPr>
                <w:sz w:val="24"/>
              </w:rPr>
              <w:br/>
              <w:t>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региона;</w:t>
            </w:r>
            <w:r>
              <w:rPr>
                <w:sz w:val="24"/>
              </w:rPr>
              <w:br/>
              <w:t xml:space="preserve">внедрение в образовательный процесс современных технологий обучения и </w:t>
            </w:r>
            <w:r>
              <w:rPr>
                <w:sz w:val="24"/>
              </w:rPr>
              <w:lastRenderedPageBreak/>
              <w:t xml:space="preserve">воспитания, в том числе проектных форм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обучающимися;</w:t>
            </w:r>
            <w:r>
              <w:rPr>
                <w:sz w:val="24"/>
              </w:rPr>
              <w:br/>
              <w:t xml:space="preserve">повышение качества подготовки обучающихся в процессе реализации общеобразовательных программ, и формирование компетенций с учетом задачи по улучшению результатов участия российских школьников в </w:t>
            </w:r>
            <w:r>
              <w:rPr>
                <w:i/>
                <w:sz w:val="24"/>
              </w:rPr>
              <w:t>международных исследованиях</w:t>
            </w:r>
            <w:r>
              <w:rPr>
                <w:sz w:val="24"/>
              </w:rPr>
              <w:t xml:space="preserve"> качества образования (PISA, TIMSS, PIRLS)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1.7.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30 процентов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</w:t>
            </w:r>
            <w:r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 концу 2023 года не менее 30 процентов педагогических работников системы общего, дополнительного образования детей и профессионального образования 65 субъектов Российской Федерации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не менее 195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Формируемая сеть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 xml:space="preserve"> обеспечивает:</w:t>
            </w:r>
            <w:r>
              <w:rPr>
                <w:sz w:val="24"/>
              </w:rPr>
              <w:br/>
              <w:t>актуализацию профессиональных знаний, умений, навыков и компетенций педагогических работников;</w:t>
            </w:r>
            <w:r>
              <w:rPr>
                <w:sz w:val="24"/>
              </w:rPr>
              <w:br/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  <w:r>
              <w:rPr>
                <w:sz w:val="24"/>
              </w:rPr>
              <w:br/>
              <w:t>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  <w:r>
              <w:rPr>
                <w:sz w:val="24"/>
              </w:rPr>
              <w:br/>
              <w:t xml:space="preserve">внедрение в образовательный процесс современных технологий обучения и воспитания, в том числе проектных форм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обучающимися;</w:t>
            </w:r>
            <w:r>
              <w:rPr>
                <w:sz w:val="24"/>
              </w:rPr>
              <w:br/>
              <w:t xml:space="preserve">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</w:t>
            </w:r>
            <w:r>
              <w:rPr>
                <w:i/>
                <w:sz w:val="24"/>
              </w:rPr>
              <w:t>международных исследованиях</w:t>
            </w:r>
            <w:r>
              <w:rPr>
                <w:sz w:val="24"/>
              </w:rPr>
              <w:t xml:space="preserve"> качества образования (PISA, TIMSS, </w:t>
            </w:r>
            <w:r>
              <w:rPr>
                <w:sz w:val="24"/>
              </w:rPr>
              <w:lastRenderedPageBreak/>
              <w:t>PIRLS)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50 процентов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</w:t>
            </w:r>
            <w:r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К концу 2024 года не менее 50 процентов педагогических работников системы общего, дополнительного образования детей и профессионального образования 85 субъектов Российской Федерации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не менее 255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Формируемая сеть </w:t>
            </w:r>
            <w:r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>
              <w:rPr>
                <w:sz w:val="24"/>
              </w:rPr>
              <w:t xml:space="preserve"> обеспечивает:</w:t>
            </w:r>
            <w:r>
              <w:rPr>
                <w:sz w:val="24"/>
              </w:rPr>
              <w:br/>
              <w:t>актуализацию профессиональных знаний, умений, навыков и компетенций педагогических работников;</w:t>
            </w:r>
            <w:r>
              <w:rPr>
                <w:sz w:val="24"/>
              </w:rPr>
              <w:br/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"Образование";</w:t>
            </w:r>
            <w:r>
              <w:rPr>
                <w:sz w:val="24"/>
              </w:rPr>
              <w:br/>
              <w:t>подготовку работников по программам педагогической магистратуры, направленным на формирование и развитие исследовательской культуры обучающихся и педагогов, а также в форме профессиональных стажировок в рамках взаимодействия с предприятиями региона и другими регионами;</w:t>
            </w:r>
            <w:r>
              <w:rPr>
                <w:sz w:val="24"/>
              </w:rPr>
              <w:br/>
              <w:t xml:space="preserve">внедрение в образовательный процесс современных технологий обучения и воспитания, в том числе проектных форм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обучающимися;</w:t>
            </w:r>
            <w:r>
              <w:rPr>
                <w:sz w:val="24"/>
              </w:rPr>
              <w:br/>
              <w:t xml:space="preserve">повышение подготовки обучающихся в процессе реализации общеобразовательных программ и формирование компетенций с учетом задачи по улучшению результатов участия российских школьников в международных исследованиях качества образования (PISA, TIMSS, PIRLS). 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 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2020 - 2024 годах добровольную независимой оценку квалификаций прошли не менее чем 10 процентов педагогических работников на базе не менее 85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</w:t>
            </w:r>
            <w:r>
              <w:rPr>
                <w:sz w:val="24"/>
              </w:rPr>
              <w:t xml:space="preserve">, созданных во всех субъектах Российской Федерации, в том </w:t>
            </w:r>
            <w:r>
              <w:rPr>
                <w:sz w:val="24"/>
              </w:rPr>
              <w:lastRenderedPageBreak/>
              <w:t>числе:</w:t>
            </w:r>
            <w:r>
              <w:rPr>
                <w:sz w:val="24"/>
              </w:rPr>
              <w:br/>
              <w:t xml:space="preserve">в 2020 году в 19 субъектах Российской Федерации - не менее 19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педагогов;</w:t>
            </w:r>
            <w:proofErr w:type="gramEnd"/>
            <w:r>
              <w:rPr>
                <w:i/>
                <w:sz w:val="24"/>
              </w:rPr>
              <w:br/>
            </w:r>
            <w:proofErr w:type="gramStart"/>
            <w:r>
              <w:rPr>
                <w:sz w:val="24"/>
              </w:rPr>
              <w:t xml:space="preserve">в 2021 году в 34 субъектах Российской Федерации - не менее 34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педагогов;</w:t>
            </w:r>
            <w:r>
              <w:rPr>
                <w:i/>
                <w:sz w:val="24"/>
              </w:rPr>
              <w:br/>
            </w:r>
            <w:r>
              <w:rPr>
                <w:sz w:val="24"/>
              </w:rPr>
              <w:t xml:space="preserve">в 2022 году в 49 субъектах Российской Федерации - не менее 49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педагогов;</w:t>
            </w:r>
            <w:r>
              <w:rPr>
                <w:i/>
                <w:sz w:val="24"/>
              </w:rPr>
              <w:br/>
            </w:r>
            <w:r>
              <w:rPr>
                <w:sz w:val="24"/>
              </w:rPr>
              <w:t xml:space="preserve">в 2023 году в 65 субъектах Российской Федерации - не менее 65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педагогов;</w:t>
            </w:r>
            <w:proofErr w:type="gramEnd"/>
            <w:r>
              <w:rPr>
                <w:i/>
                <w:sz w:val="24"/>
              </w:rPr>
              <w:br/>
            </w:r>
            <w:r>
              <w:rPr>
                <w:sz w:val="24"/>
              </w:rPr>
              <w:t xml:space="preserve">в 2024 году во всех субъектах Российской Федерации созданы и функционируют не менее 85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</w:t>
            </w:r>
            <w:r>
              <w:rPr>
                <w:sz w:val="24"/>
              </w:rPr>
              <w:t xml:space="preserve">, что позволяет обеспечить соответствующую современным требованиям независимую процедуру подтверждения соответствия квалификации положениям профессионального стандарта или квалификационным требованиям. 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1.10.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В 2019-2024 году за счет софинансирования из федерального бюджета во всех субъектах Российской Федерации создана сеть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не менее </w:t>
            </w:r>
            <w:proofErr w:type="gramStart"/>
            <w:r>
              <w:rPr>
                <w:sz w:val="24"/>
              </w:rPr>
              <w:t>чем</w:t>
            </w:r>
            <w:proofErr w:type="gramEnd"/>
            <w:r>
              <w:rPr>
                <w:sz w:val="24"/>
              </w:rPr>
              <w:t xml:space="preserve"> 225</w:t>
            </w:r>
            <w:r>
              <w:rPr>
                <w:i/>
                <w:sz w:val="24"/>
              </w:rPr>
              <w:t xml:space="preserve"> центров непрерывного повышения профессионального мастерства педагогических работников </w:t>
            </w:r>
            <w:r>
              <w:rPr>
                <w:sz w:val="24"/>
              </w:rPr>
              <w:t>и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из не менее чем 85 </w:t>
            </w:r>
            <w:r>
              <w:rPr>
                <w:i/>
                <w:sz w:val="24"/>
              </w:rPr>
              <w:t>центров оценки профессионального мастерства и квалификаций педагогов.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694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70 процентов учителей в возрасте до 35 лет вовлечены в различные формы поддержки и сопровождения в первые три года работы </w:t>
            </w:r>
          </w:p>
        </w:tc>
        <w:tc>
          <w:tcPr>
            <w:tcW w:w="802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 2021-2024 годах не менее 70 процентов педагогических работников в возрасте до 35 лет вовлечены в различные формы поддержки и сопровождения, в том числе наставничества, что позволяет:</w:t>
            </w:r>
            <w:r>
              <w:rPr>
                <w:sz w:val="24"/>
              </w:rPr>
              <w:br/>
              <w:t xml:space="preserve">создать условия для профессиональной и социально-бытовой адаптации педагогических работников; </w:t>
            </w:r>
            <w:r>
              <w:rPr>
                <w:sz w:val="24"/>
              </w:rPr>
              <w:br/>
              <w:t>привлечь и закрепить в общеобразовательных организациях лучших выпускников вузов;</w:t>
            </w:r>
            <w:r>
              <w:rPr>
                <w:sz w:val="24"/>
              </w:rPr>
              <w:br/>
              <w:t>актуализировать и расширить полученные педагогическими работниками в процессе профессионального образования знания, умения и компетенции;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обеспечить баланс состава педагогических коллективов и преемственность </w:t>
            </w:r>
            <w:r>
              <w:rPr>
                <w:sz w:val="24"/>
              </w:rPr>
              <w:lastRenderedPageBreak/>
              <w:t>традиций российской школы.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В целях достижения результата будут реализованы программы выявления и поддержки молодежи, мотивированной к освоению педагогической профессии, внедрены механизмы повышения степени участия молодых людей (студентов) в обучении школьников (наставничество), а также обеспечено привлечение в сферу общего и дополнительного образования детей специалистов-практиков и студентов образовательных организаций высшего образования, в том числе не имеющих профильного педагогического образования.</w:t>
            </w:r>
            <w:proofErr w:type="gramEnd"/>
          </w:p>
        </w:tc>
      </w:tr>
    </w:tbl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4. Финансовое обеспечение реализации федерального проекта</w:t>
      </w:r>
    </w:p>
    <w:p>
      <w:pPr>
        <w:spacing w:line="240" w:lineRule="atLeas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4"/>
        <w:gridCol w:w="4889"/>
        <w:gridCol w:w="1378"/>
        <w:gridCol w:w="1376"/>
        <w:gridCol w:w="1374"/>
        <w:gridCol w:w="1374"/>
        <w:gridCol w:w="1374"/>
        <w:gridCol w:w="1373"/>
        <w:gridCol w:w="1990"/>
      </w:tblGrid>
      <w:tr>
        <w:trPr>
          <w:trHeight w:val="20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 и</w:t>
            </w:r>
            <w:r>
              <w:rPr>
                <w:sz w:val="24"/>
              </w:rPr>
              <w:br/>
              <w:t>источники финансирования</w:t>
            </w: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</w:t>
            </w:r>
            <w:r>
              <w:rPr>
                <w:sz w:val="24"/>
              </w:rPr>
              <w:br/>
              <w:t>(млн. рублей)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br/>
              <w:t>(млн. рублей)</w:t>
            </w:r>
          </w:p>
        </w:tc>
      </w:tr>
      <w:tr>
        <w:trPr>
          <w:trHeight w:val="20"/>
          <w:tblHeader/>
        </w:trPr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  <w:tblHeader/>
        </w:trPr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79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 всех субъектах Российской Федерации внедрена система аттестации руководителей образовательных организаций</w:t>
            </w:r>
            <w:r>
              <w:rPr>
                <w:sz w:val="24"/>
              </w:rPr>
              <w:br/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  <w:r>
              <w:rPr>
                <w:sz w:val="24"/>
              </w:rPr>
              <w:br/>
              <w:t xml:space="preserve">Введена </w:t>
            </w:r>
            <w:r>
              <w:rPr>
                <w:i/>
                <w:sz w:val="24"/>
              </w:rPr>
              <w:t>национальная система учительского</w:t>
            </w:r>
            <w:proofErr w:type="gramEnd"/>
            <w:r>
              <w:rPr>
                <w:i/>
                <w:sz w:val="24"/>
              </w:rPr>
              <w:t xml:space="preserve"> роста</w:t>
            </w:r>
            <w:r>
              <w:rPr>
                <w:sz w:val="24"/>
              </w:rPr>
              <w:t>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340,00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1 660,00</w:t>
            </w:r>
          </w:p>
        </w:tc>
      </w:tr>
      <w:tr>
        <w:trPr>
          <w:trHeight w:val="20"/>
        </w:trPr>
        <w:tc>
          <w:tcPr>
            <w:tcW w:w="794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340,0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350,00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1660,00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(указывается наименование)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)( указывается наименование)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)( указывается наименование)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50 процентов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</w:t>
            </w:r>
            <w:r>
              <w:rPr>
                <w:sz w:val="24"/>
              </w:rPr>
              <w:br/>
            </w:r>
            <w:r>
              <w:rPr>
                <w:i/>
                <w:sz w:val="24"/>
              </w:rPr>
              <w:t>непрерывного образования</w:t>
            </w:r>
          </w:p>
        </w:tc>
        <w:tc>
          <w:tcPr>
            <w:tcW w:w="1378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1 564,3</w:t>
            </w:r>
          </w:p>
        </w:tc>
        <w:tc>
          <w:tcPr>
            <w:tcW w:w="1376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1 560,60</w:t>
            </w:r>
          </w:p>
        </w:tc>
        <w:tc>
          <w:tcPr>
            <w:tcW w:w="1374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2 437,80</w:t>
            </w:r>
          </w:p>
        </w:tc>
        <w:tc>
          <w:tcPr>
            <w:tcW w:w="1374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2 478,60</w:t>
            </w:r>
          </w:p>
        </w:tc>
        <w:tc>
          <w:tcPr>
            <w:tcW w:w="1374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2 478,60</w:t>
            </w:r>
          </w:p>
        </w:tc>
        <w:tc>
          <w:tcPr>
            <w:tcW w:w="1373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3 264,00</w:t>
            </w:r>
          </w:p>
        </w:tc>
        <w:tc>
          <w:tcPr>
            <w:tcW w:w="1990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13 783,90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10 процентов педагогических работников системы общего образования и дополнительного образования детей </w:t>
            </w:r>
            <w:proofErr w:type="gramStart"/>
            <w:r>
              <w:rPr>
                <w:sz w:val="24"/>
              </w:rPr>
              <w:t xml:space="preserve">прошли добровольную независимую оценку профессиональной квалификации </w:t>
            </w:r>
            <w:r>
              <w:rPr>
                <w:sz w:val="24"/>
              </w:rPr>
              <w:br/>
              <w:t>Создана</w:t>
            </w:r>
            <w:proofErr w:type="gramEnd"/>
            <w:r>
              <w:rPr>
                <w:sz w:val="24"/>
              </w:rPr>
              <w:t xml:space="preserve">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</w:t>
            </w:r>
          </w:p>
        </w:tc>
        <w:tc>
          <w:tcPr>
            <w:tcW w:w="1378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794" w:type="dxa"/>
            <w:vMerge w:val="restart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1 360,00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1 530,00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2 390,00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2 430,00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2 430,00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3 200,00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13 340,00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 xml:space="preserve">) 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1 360,00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1 530,00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2 390,00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2 430,00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2 430,00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3 200,00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13 340,00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(указывается наименование)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204,3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47,80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443,9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(указывается наименование)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204,3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47,80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443,9</w:t>
            </w:r>
          </w:p>
        </w:tc>
      </w:tr>
      <w:tr>
        <w:trPr>
          <w:trHeight w:val="20"/>
        </w:trPr>
        <w:tc>
          <w:tcPr>
            <w:tcW w:w="794" w:type="dxa"/>
            <w:vMerge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4889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Всего по федеральному проекту, в том числе: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1 904,3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1 730,60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2 697,80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2 748,60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2 748,60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3 614,00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15 443,9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1 700,00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1 700,00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2 650,00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2 700,00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2 700,00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3 550,00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15 000,00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1 360,00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1 530,00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2 390,00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2 430,00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2 430,00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3 200,00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13 340,00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)(указывается наименование)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204,3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47,80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443,9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</w:t>
            </w:r>
            <w:proofErr w:type="gramStart"/>
            <w:r>
              <w:rPr>
                <w:i/>
                <w:sz w:val="24"/>
              </w:rPr>
              <w:t>у(</w:t>
            </w:r>
            <w:proofErr w:type="spellStart"/>
            <w:proofErr w:type="gramEnd"/>
            <w:r>
              <w:rPr>
                <w:i/>
                <w:sz w:val="24"/>
              </w:rPr>
              <w:t>ам</w:t>
            </w:r>
            <w:proofErr w:type="spellEnd"/>
            <w:r>
              <w:rPr>
                <w:i/>
                <w:sz w:val="24"/>
              </w:rPr>
              <w:t>) (указывается наименование)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204,3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47,80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48,60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64,00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443,9</w:t>
            </w:r>
          </w:p>
        </w:tc>
      </w:tr>
      <w:tr>
        <w:trPr>
          <w:trHeight w:val="20"/>
        </w:trPr>
        <w:tc>
          <w:tcPr>
            <w:tcW w:w="5683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9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5. Участники федерального проекта</w:t>
      </w:r>
    </w:p>
    <w:p>
      <w:pPr>
        <w:spacing w:line="240" w:lineRule="atLeas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677"/>
        <w:gridCol w:w="3067"/>
        <w:gridCol w:w="4354"/>
        <w:gridCol w:w="3481"/>
        <w:gridCol w:w="1803"/>
      </w:tblGrid>
      <w:tr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Роль в проекте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Фамилия, инициалы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Непосредственный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Занятость в проекте (процентов)</w:t>
            </w:r>
          </w:p>
        </w:tc>
      </w:tr>
      <w:tr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br/>
              <w:t>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О.Ю.Васильева, </w:t>
            </w:r>
            <w:r>
              <w:rPr>
                <w:sz w:val="24"/>
              </w:rPr>
              <w:br/>
              <w:t>Министр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стратегии, анализа, прогноза и проектной деятельности в сфере образования Министерства просвещения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Общие организационные мероприятия по проекту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и.о. генерального директора 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стратегии, анализа, прогноза и проектной деятельности в сфере образования Министерства просвещения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Внедрение системы аттестации руководителей образовательных организаций во всех субъектах Российской Федерации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стратегии, анализа, прогноза и проектной деятельности в сфере образования Министерства просвещения Российской Федерации 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федерального проекта 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Л.Ю.Ельцова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 Министра труда и социальной защиты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М.А.Топилин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А.И.Рожков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Н.А.Наумова</w:t>
            </w:r>
            <w:r>
              <w:rPr>
                <w:sz w:val="24"/>
              </w:rPr>
              <w:br/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Федеральной службы по надзору в сфере образования и науки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С.С.Кравцов, руководитель Федеральной службы по надзору в сфере образования и науки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Г.И.Меркулова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Общероссийского Профсоюза образования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А.Е.Тимкин 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</w:t>
            </w:r>
            <w:r>
              <w:rPr>
                <w:sz w:val="24"/>
              </w:rPr>
              <w:br/>
              <w:t>и.о. генерального директора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 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стратегии, анализа, прогноза и проектной деятельности в сфере образования Министерства просвещения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и.о. генерального директора 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Ю.А.Изосимов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и.о. генерального директора 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А.И.Рожков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>, заместитель Министра науки и высшего образования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М.Б.Хлопотных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развития педагогических кадров и контроля управления ресурсами Министерства просвещения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Т.Ю. </w:t>
            </w:r>
            <w:proofErr w:type="spellStart"/>
            <w:r>
              <w:rPr>
                <w:sz w:val="24"/>
              </w:rPr>
              <w:t>Синюгина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И.А.Черноскутова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И.П. Потехина,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А.Е.Тимкин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</w:t>
            </w:r>
            <w:r>
              <w:rPr>
                <w:sz w:val="24"/>
              </w:rPr>
              <w:br/>
              <w:t>и.о. генерального директора 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Повышение уровня профессионального мастерства педагогических работников в форматах </w:t>
            </w:r>
            <w:r>
              <w:rPr>
                <w:i/>
                <w:sz w:val="24"/>
              </w:rPr>
              <w:t>непрерывного образования</w:t>
            </w:r>
            <w:r>
              <w:rPr>
                <w:i/>
                <w:sz w:val="24"/>
              </w:rPr>
              <w:br/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стратегии, анализа, прогноза и проектной деятельности в сфере образования Министерства просвещения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А.И.Рожков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 xml:space="preserve">, заместитель Министра науки и высшего образования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М.Ю. </w:t>
            </w:r>
            <w:proofErr w:type="spellStart"/>
            <w:r>
              <w:rPr>
                <w:sz w:val="24"/>
              </w:rPr>
              <w:t>Алашкевич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вице-президент 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С.В. </w:t>
            </w:r>
            <w:proofErr w:type="spellStart"/>
            <w:r>
              <w:rPr>
                <w:sz w:val="24"/>
              </w:rPr>
              <w:t>Ячевская</w:t>
            </w:r>
            <w:proofErr w:type="spellEnd"/>
            <w:r>
              <w:rPr>
                <w:sz w:val="24"/>
              </w:rPr>
              <w:t xml:space="preserve">, заместитель Председателя Внешэкономбанка - член Правления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и.о. генерального директора 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А.Е.Тимкин 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</w:t>
            </w:r>
            <w:r>
              <w:rPr>
                <w:sz w:val="24"/>
              </w:rPr>
              <w:br/>
              <w:t>и.о. генерального директора 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Введение </w:t>
            </w:r>
            <w:r>
              <w:rPr>
                <w:i/>
                <w:sz w:val="24"/>
              </w:rPr>
              <w:t>национальной системы учительского роста</w:t>
            </w:r>
            <w:r>
              <w:rPr>
                <w:sz w:val="24"/>
              </w:rPr>
              <w:t>, в том числе внесение изменений в номенклатуру должностей педагогических работников, должностей руководителей образовательных организаций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  <w:r>
              <w:rPr>
                <w:sz w:val="24"/>
              </w:rPr>
              <w:br/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М.Б.Хлопотных 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Департамента развития педагогических кадров и контроля управления ресурсами Министерства просвещения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Т.А. </w:t>
            </w:r>
            <w:proofErr w:type="spellStart"/>
            <w:r>
              <w:rPr>
                <w:sz w:val="24"/>
              </w:rPr>
              <w:t>Синюгина</w:t>
            </w:r>
            <w:proofErr w:type="spellEnd"/>
            <w:r>
              <w:rPr>
                <w:sz w:val="24"/>
              </w:rPr>
              <w:t>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Л.Ю.Ельцова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 Министра труда и социальной защиты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М.А.Топилин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А.И.Рожков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М.А.Боровская</w:t>
            </w:r>
            <w:proofErr w:type="spellEnd"/>
            <w:r>
              <w:rPr>
                <w:sz w:val="24"/>
              </w:rPr>
              <w:t xml:space="preserve">, заместитель Министра науки и высшего образования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Н.А.Наумова</w:t>
            </w:r>
            <w:r>
              <w:rPr>
                <w:sz w:val="24"/>
              </w:rPr>
              <w:br/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Федеральной службы по надзору в сфере образования и науки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С.С.Кравцов, руководитель Федеральной службы по надзору в сфере образования и науки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Г.И.Меркулова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Общероссийского Профсоюза образования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И.А.  Черноскутова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И.П. Потехина,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И.А.  Михеев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 в сфере воспитания, дополнительного образования и детского отдыха Министерства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И.П. Потехина,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А.Е.Тимкин 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</w:t>
            </w:r>
            <w:r>
              <w:rPr>
                <w:sz w:val="24"/>
              </w:rPr>
              <w:br/>
              <w:t>генерального директора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Прохождение педагогическими работниками системы общего образования и дополнительного образования детей </w:t>
            </w:r>
            <w:r>
              <w:rPr>
                <w:sz w:val="24"/>
              </w:rPr>
              <w:br/>
              <w:t>добровольной независимой оценки квалификаций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федерального проекта 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Л.Ю.Ельцова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 Министра труда и социальной защиты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М.А.Топилин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и.о. генерального директора 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Н.А.Наумова</w:t>
            </w:r>
            <w:r>
              <w:rPr>
                <w:sz w:val="24"/>
              </w:rPr>
              <w:br/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Федеральной службы по надзору в сфере образования и науки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С.С.Кравцов, руководитель Федеральной службы по надзору в сфере образования и науки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Г.И.Меркулова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Общероссийского Профсоюза образования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А.Е.Тимкин 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</w:t>
            </w:r>
            <w:r>
              <w:rPr>
                <w:sz w:val="24"/>
              </w:rPr>
              <w:br/>
              <w:t>генерального директора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во всех субъектах Российской Федерации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М.А.Инкин, и.о. генерального директора 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А.Е.Тимкин 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</w:t>
            </w:r>
            <w:r>
              <w:rPr>
                <w:sz w:val="24"/>
              </w:rPr>
              <w:br/>
              <w:t>генерального директора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исполнительной власти субъектов Российской Федерации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Вовлечение в различные формы поддержки и сопровождение в первые три года работы учителей в возрасте до 35 лет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Е.М.Зак</w:t>
            </w:r>
            <w:proofErr w:type="spellEnd"/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</w:t>
            </w:r>
            <w:r>
              <w:rPr>
                <w:sz w:val="24"/>
              </w:rPr>
              <w:br/>
              <w:t>генерального директора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А.И.Рожков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высшего образования и молодежной политики Министерства науки и высшего образования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Боровская М.А., заместитель Министра науки и высшего образования Российской Федерации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Н.А.Наумова</w:t>
            </w:r>
            <w:r>
              <w:rPr>
                <w:sz w:val="24"/>
              </w:rPr>
              <w:br/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руководителя Федеральной службы по надзору в сфере образования и науки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С.С.Кравцов, руководитель Федеральной службы по надзору в сфере образования и науки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Г.И.Меркулова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председатель Общероссийского Профсоюза образования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А.Е.Тимкин </w:t>
            </w: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</w:t>
            </w:r>
            <w:r>
              <w:rPr>
                <w:sz w:val="24"/>
              </w:rPr>
              <w:br/>
              <w:t xml:space="preserve">ФГАУ "Фонд новых форм развития образования" 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</w:t>
            </w:r>
            <w:r>
              <w:rPr>
                <w:sz w:val="24"/>
              </w:rPr>
              <w:br/>
              <w:t>генерального директора</w:t>
            </w:r>
            <w:r>
              <w:rPr>
                <w:sz w:val="24"/>
              </w:rPr>
              <w:br/>
              <w:t>ФГАУ "Фонд новых форм развития образования"</w:t>
            </w:r>
            <w:r>
              <w:rPr>
                <w:sz w:val="24"/>
              </w:rPr>
              <w:br/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540" w:type="dxa"/>
            <w:shd w:val="clear" w:color="auto" w:fill="auto"/>
          </w:tcPr>
          <w:p>
            <w:pPr>
              <w:numPr>
                <w:ilvl w:val="0"/>
                <w:numId w:val="39"/>
              </w:num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30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435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</w:tbl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6. Дополнительная информация</w:t>
      </w:r>
    </w:p>
    <w:p>
      <w:pPr>
        <w:spacing w:line="240" w:lineRule="atLeast"/>
        <w:jc w:val="center"/>
      </w:pPr>
    </w:p>
    <w:p>
      <w:pPr>
        <w:spacing w:line="240" w:lineRule="atLeast"/>
        <w:jc w:val="center"/>
      </w:pPr>
      <w:r>
        <w:t>Глоссарий</w:t>
      </w:r>
    </w:p>
    <w:p>
      <w:pPr>
        <w:spacing w:line="240" w:lineRule="atLeast"/>
      </w:pPr>
    </w:p>
    <w:p>
      <w:pPr>
        <w:ind w:firstLine="709"/>
      </w:pPr>
      <w:r>
        <w:t xml:space="preserve">Центр оценки профессионального мастерства и квалификаций педагогов -  юридическое лицо, осуществляющее независимую оценку квалификаций руководящих и педагогических работников в целях подтверждения соответствия занимаемым должностям в рамках реализации Федерального закона "О независимой оценке квалификации" от 3 июля 2016  года № 238. </w:t>
      </w:r>
    </w:p>
    <w:p>
      <w:pPr>
        <w:ind w:firstLine="709"/>
      </w:pPr>
      <w:r>
        <w:t xml:space="preserve">"Горизонтальное обучение" педагогических работников - система P2P (англ. </w:t>
      </w:r>
      <w:proofErr w:type="spellStart"/>
      <w:r>
        <w:t>peer-to-peer</w:t>
      </w:r>
      <w:proofErr w:type="spellEnd"/>
      <w:r>
        <w:t xml:space="preserve"> - "</w:t>
      </w:r>
      <w:proofErr w:type="gramStart"/>
      <w:r>
        <w:t>равный</w:t>
      </w:r>
      <w:proofErr w:type="gramEnd"/>
      <w:r>
        <w:t xml:space="preserve"> равному"), обучение внутри профессиональных сообществ педагогов и руководителей образовательных организаций.</w:t>
      </w:r>
    </w:p>
    <w:p>
      <w:pPr>
        <w:ind w:firstLine="709"/>
      </w:pPr>
      <w:r>
        <w:t>Международные исследования - сравнительные исследования по оценке качества образования, которые организуются и проводятся международными организациями:</w:t>
      </w:r>
    </w:p>
    <w:p>
      <w:pPr>
        <w:ind w:firstLine="709"/>
      </w:pPr>
      <w:hyperlink r:id="rId8">
        <w:r>
          <w:t>PIRLS: исследование качества чтения и понимания текста (</w:t>
        </w:r>
        <w:proofErr w:type="spellStart"/>
        <w:r>
          <w:t>Progress</w:t>
        </w:r>
        <w:proofErr w:type="spellEnd"/>
        <w:r>
          <w:t xml:space="preserve"> </w:t>
        </w:r>
        <w:proofErr w:type="spellStart"/>
        <w:r>
          <w:t>in</w:t>
        </w:r>
        <w:proofErr w:type="spellEnd"/>
        <w:r>
          <w:t xml:space="preserve"> </w:t>
        </w:r>
        <w:proofErr w:type="spellStart"/>
        <w:r>
          <w:t>International</w:t>
        </w:r>
        <w:proofErr w:type="spellEnd"/>
        <w:r>
          <w:t xml:space="preserve"> </w:t>
        </w:r>
        <w:proofErr w:type="spellStart"/>
        <w:r>
          <w:t>Reading</w:t>
        </w:r>
        <w:proofErr w:type="spellEnd"/>
        <w:r>
          <w:t xml:space="preserve"> </w:t>
        </w:r>
        <w:proofErr w:type="spellStart"/>
        <w:r>
          <w:t>Literacy</w:t>
        </w:r>
        <w:proofErr w:type="spellEnd"/>
        <w:r>
          <w:t xml:space="preserve"> </w:t>
        </w:r>
        <w:proofErr w:type="spellStart"/>
        <w:r>
          <w:t>Study</w:t>
        </w:r>
        <w:proofErr w:type="spellEnd"/>
        <w:r>
          <w:t>). </w:t>
        </w:r>
      </w:hyperlink>
      <w:r>
        <w:t>Исследование проводится с целью сравнения уровня и качества чтения и понимания текста учащимися начальной школы в странах мира, а также выявления и интерпретации различий в национальных системах образования с целью совершенствования процесса обучения чтению.</w:t>
      </w:r>
    </w:p>
    <w:p>
      <w:pPr>
        <w:ind w:firstLine="709"/>
      </w:pPr>
      <w:hyperlink r:id="rId9">
        <w:r>
          <w:t>PISA: международное сравнительное исследование качества общего образования (</w:t>
        </w:r>
        <w:proofErr w:type="spellStart"/>
        <w:r>
          <w:t>Programme</w:t>
        </w:r>
        <w:proofErr w:type="spellEnd"/>
        <w:r>
          <w:t xml:space="preserve"> </w:t>
        </w:r>
        <w:proofErr w:type="spellStart"/>
        <w:r>
          <w:t>for</w:t>
        </w:r>
        <w:proofErr w:type="spellEnd"/>
        <w:r>
          <w:t xml:space="preserve"> </w:t>
        </w:r>
        <w:proofErr w:type="spellStart"/>
        <w:r>
          <w:t>International</w:t>
        </w:r>
        <w:proofErr w:type="spellEnd"/>
        <w:r>
          <w:t xml:space="preserve"> </w:t>
        </w:r>
        <w:proofErr w:type="spellStart"/>
        <w:r>
          <w:t>Student</w:t>
        </w:r>
        <w:proofErr w:type="spellEnd"/>
        <w:r>
          <w:t xml:space="preserve"> </w:t>
        </w:r>
        <w:proofErr w:type="spellStart"/>
        <w:r>
          <w:t>Assessment</w:t>
        </w:r>
        <w:proofErr w:type="spellEnd"/>
        <w:r>
          <w:t>).</w:t>
        </w:r>
      </w:hyperlink>
      <w:r>
        <w:t xml:space="preserve"> Целью исследования является оценка способности учащихся использовать приобретенные в школе знания и опыт для широкого диапазона жизненных задач в различных сферах человеческой деятельности, общения и социальных отношений.</w:t>
      </w:r>
    </w:p>
    <w:p>
      <w:pPr>
        <w:ind w:firstLine="709"/>
      </w:pPr>
      <w:hyperlink r:id="rId10">
        <w:r>
          <w:t>TIMSS: международное сравнительное исследование качества общего образования (</w:t>
        </w:r>
        <w:proofErr w:type="spellStart"/>
        <w:r>
          <w:t>Trends</w:t>
        </w:r>
        <w:proofErr w:type="spellEnd"/>
        <w:r>
          <w:t xml:space="preserve"> </w:t>
        </w:r>
        <w:proofErr w:type="spellStart"/>
        <w:r>
          <w:t>in</w:t>
        </w:r>
        <w:proofErr w:type="spellEnd"/>
        <w:r>
          <w:t xml:space="preserve"> </w:t>
        </w:r>
        <w:proofErr w:type="spellStart"/>
        <w:r>
          <w:t>Mathematics</w:t>
        </w:r>
        <w:proofErr w:type="spellEnd"/>
        <w:r>
          <w:t xml:space="preserve"> </w:t>
        </w:r>
        <w:proofErr w:type="spellStart"/>
        <w:r>
          <w:t>and</w:t>
        </w:r>
        <w:proofErr w:type="spellEnd"/>
        <w:r>
          <w:t xml:space="preserve"> </w:t>
        </w:r>
        <w:proofErr w:type="spellStart"/>
        <w:r>
          <w:t>Science</w:t>
        </w:r>
        <w:proofErr w:type="spellEnd"/>
        <w:r>
          <w:t xml:space="preserve"> </w:t>
        </w:r>
        <w:proofErr w:type="spellStart"/>
        <w:r>
          <w:t>Study</w:t>
        </w:r>
        <w:proofErr w:type="spellEnd"/>
        <w:r>
          <w:t>).</w:t>
        </w:r>
      </w:hyperlink>
      <w:r>
        <w:t> Основной целью исследования является сравнительная оценка качества математического и естественнонаучного образования в начальной и основной школе.</w:t>
      </w:r>
    </w:p>
    <w:p>
      <w:pPr>
        <w:ind w:firstLine="709"/>
      </w:pPr>
      <w:r>
        <w:t>Руководители образовательных организаций - директор, заместитель директора образовательной организации, реализующей программы общего и (или) дополнительного образования детей.</w:t>
      </w:r>
    </w:p>
    <w:p>
      <w:pPr>
        <w:ind w:firstLine="709"/>
      </w:pPr>
      <w:r>
        <w:t xml:space="preserve">Национальная система профессионального роста педагогических работников - система государственных и общественных институтов, обеспечивающих непрерывное образование педагогических работников с учетом анализа их потребностей в освоении профессиональных компетенций. </w:t>
      </w:r>
    </w:p>
    <w:p>
      <w:pPr>
        <w:ind w:firstLine="709"/>
      </w:pPr>
      <w:proofErr w:type="gramStart"/>
      <w:r>
        <w:lastRenderedPageBreak/>
        <w:t xml:space="preserve">Национальная система учительского роста - система, обеспечивающая возможность карьерного роста педагогических работников соответственно их уровню владения профессиональными компетенциями, подтверждаемыми результатами аттестации, а также с учетом мнения выпускников общеобразовательных организаций, включающая внесение изменений в номенклатуру должностей педагогических работников (утверждена постановлением Правительства Российской Федерации </w:t>
      </w:r>
      <w:r>
        <w:br/>
        <w:t>от 8 августа 2013 г. 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</w:t>
      </w:r>
      <w:proofErr w:type="gramEnd"/>
      <w:r>
        <w:t xml:space="preserve"> организаций") в части дополнения ее должностями, основанными на должности "учитель", а также </w:t>
      </w:r>
      <w:proofErr w:type="gramStart"/>
      <w:r>
        <w:t>предполагающая</w:t>
      </w:r>
      <w:proofErr w:type="gramEnd"/>
      <w:r>
        <w:t xml:space="preserve"> ряд мотивационных и конкурсных мероприятий, направленных на развитие профессионального мастерства педагогических работников. </w:t>
      </w:r>
    </w:p>
    <w:p>
      <w:pPr>
        <w:ind w:firstLine="709"/>
      </w:pPr>
      <w:r>
        <w:t>Повышение уровня профессионального мастерства - процесс освоения педагогическими работниками новых знаний, навыков и компетенций.</w:t>
      </w:r>
    </w:p>
    <w:p>
      <w:pPr>
        <w:ind w:firstLine="709"/>
      </w:pPr>
      <w:r>
        <w:t>Непрерывное образование педагогических работников - повышение уровня профессионального мастерства в процессе освоения программ среднего профессионального, высшего и дополнительного профессионального образования и программ краткосрочных обучающих мероприятий (семинаров, вебинаров, мастер-классов, активностей профессиональных ассоциаций, обмена опытом и лучшими практиками и т.п.), в том числе с использованием дистанционных образовательных технологий в течение всей жизни.</w:t>
      </w:r>
    </w:p>
    <w:p>
      <w:pPr>
        <w:ind w:firstLine="709"/>
      </w:pPr>
      <w: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 по основным и дополнительным общеобразовательным программам, и выполняет обязанности по обучению, воспитанию обучающихся и (или) организации образовательной деятельности.</w:t>
      </w:r>
    </w:p>
    <w:p>
      <w:pPr>
        <w:ind w:firstLine="709"/>
      </w:pPr>
      <w:r>
        <w:t>Профессиональное мастерство - комплекс профессиональных качеств педагогического работника, обеспечивающих высокий уровень профессиональной педагогической деятельности в соответствии с профессиональным стандартом.</w:t>
      </w:r>
    </w:p>
    <w:p>
      <w:pPr>
        <w:ind w:firstLine="709"/>
      </w:pPr>
      <w:r>
        <w:t xml:space="preserve">Профессиональные дефициты - отсутствие или недостаточное развитие профессиональных компетенций педагогических работников, вызывающих типичные затруднения в реализации определенных направлений педагогической деятельности. </w:t>
      </w:r>
    </w:p>
    <w:p>
      <w:pPr>
        <w:ind w:firstLine="709"/>
      </w:pPr>
      <w:r>
        <w:t>Профессиональные компетенции педагогического работника - совокупность профессиональных знаний и навыков, необходимых для успешной педагогической деятельности.</w:t>
      </w:r>
    </w:p>
    <w:p>
      <w:pPr>
        <w:ind w:firstLine="709"/>
      </w:pPr>
      <w:proofErr w:type="gramStart"/>
      <w:r>
        <w:t xml:space="preserve">Средневзвешенный результат Российской Федерации в группе международных исследований, место Российской </w:t>
      </w:r>
      <w:r>
        <w:br/>
        <w:t xml:space="preserve">Федерации - определяется через охват дошкольным образованием в рейтинге Организации экономического сотрудничества и </w:t>
      </w:r>
      <w:r>
        <w:lastRenderedPageBreak/>
        <w:t xml:space="preserve">развития (далее - ОЭСР); охват программами раннего развития в рейтинге ОЭСР; результаты в Международном мониторинговом исследовании качества школьного математического и естественнонаучного образования TIMSS (англ. TIMSS -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Study</w:t>
      </w:r>
      <w:proofErr w:type="spellEnd"/>
      <w:r>
        <w:t>) (4 и 8 классы);</w:t>
      </w:r>
      <w:proofErr w:type="gramEnd"/>
      <w:r>
        <w:t xml:space="preserve"> результаты в Международной программе по оценке образовательных достижений учащихся PISA (англ. PISA -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 по математической, читательской и естественнонаучной грамотности; коэффициент выпуска по программам общего образования в рейтинге ОЭСР.</w:t>
      </w:r>
    </w:p>
    <w:p>
      <w:pPr>
        <w:ind w:firstLine="709"/>
      </w:pPr>
      <w:r>
        <w:t>Учителя (педагогические работники) в возрасте до 35 лет, вовлеченные в различные формы поддержки и сопровождения в первые три года работы - педагогические работники в возрасте до 35 лет, отвечающие требованиям соответствующего профессионального стандарта, впервые принятые на работу по трудовому договору и работающие в образовательной организации менее трех лет.</w:t>
      </w:r>
    </w:p>
    <w:p>
      <w:pPr>
        <w:ind w:firstLine="709"/>
      </w:pPr>
      <w:r>
        <w:t xml:space="preserve">Центр непрерывного повышения профессионального мастерства педагогических работников - юридическое лицо либо структурное подразделение организации, осуществляющей образовательную деятельность по образовательным программам высшего образования, по образовательным программам дополнительного профессионального образования, организующее и осуществляющее непрерывное образование педагогических работников с учетом анализа потребностей педагогических работников в освоении компетенций. </w:t>
      </w:r>
    </w:p>
    <w:p>
      <w:pPr>
        <w:ind w:firstLine="709"/>
      </w:pPr>
    </w:p>
    <w:p>
      <w:pPr>
        <w:ind w:firstLine="709"/>
      </w:pPr>
      <w:r>
        <w:t>Сноски</w:t>
      </w:r>
    </w:p>
    <w:p>
      <w:pPr>
        <w:ind w:firstLine="709"/>
      </w:pPr>
    </w:p>
    <w:p>
      <w:pPr>
        <w:spacing w:line="240" w:lineRule="atLeast"/>
        <w:rPr>
          <w:sz w:val="24"/>
        </w:rPr>
      </w:pPr>
      <w:r>
        <w:rPr>
          <w:sz w:val="24"/>
        </w:rPr>
        <w:sym w:font="Symbol" w:char="F02A"/>
      </w:r>
      <w:r>
        <w:rPr>
          <w:sz w:val="24"/>
        </w:rPr>
        <w:t>Мероприятие является перекрестным с федеральным проектом "Кадры для цифровой экономики" национальной программы "Цифровая экономика Российской Федерации".</w:t>
      </w:r>
    </w:p>
    <w:p>
      <w:pPr>
        <w:spacing w:line="240" w:lineRule="atLeast"/>
        <w:rPr>
          <w:sz w:val="24"/>
        </w:rPr>
      </w:pPr>
      <w:r>
        <w:rPr>
          <w:sz w:val="24"/>
        </w:rPr>
        <w:sym w:font="Symbol" w:char="F02A"/>
      </w:r>
      <w:r>
        <w:rPr>
          <w:sz w:val="24"/>
        </w:rPr>
        <w:sym w:font="Symbol" w:char="F02A"/>
      </w:r>
      <w:r>
        <w:rPr>
          <w:sz w:val="24"/>
        </w:rPr>
        <w:t xml:space="preserve"> Мероприятие является перекрестным с федеральным проектом "Современная школа" национального проекта "Образование".</w:t>
      </w:r>
    </w:p>
    <w:p>
      <w:pPr>
        <w:spacing w:line="240" w:lineRule="atLeast"/>
        <w:rPr>
          <w:sz w:val="24"/>
        </w:rPr>
      </w:pPr>
      <w:r>
        <w:rPr>
          <w:sz w:val="24"/>
        </w:rPr>
        <w:sym w:font="Symbol" w:char="F02A"/>
      </w:r>
      <w:r>
        <w:rPr>
          <w:sz w:val="24"/>
        </w:rPr>
        <w:sym w:font="Symbol" w:char="F02A"/>
      </w:r>
      <w:r>
        <w:rPr>
          <w:sz w:val="24"/>
        </w:rPr>
        <w:sym w:font="Symbol" w:char="F02A"/>
      </w:r>
      <w:r>
        <w:rPr>
          <w:sz w:val="24"/>
        </w:rPr>
        <w:t xml:space="preserve"> Мероприятие является перекрестным с федеральным проектом "Цифровая образовательная среда" национального проекта "Образование".</w:t>
      </w:r>
    </w:p>
    <w:p>
      <w:pPr>
        <w:spacing w:line="240" w:lineRule="atLeast"/>
        <w:rPr>
          <w:sz w:val="24"/>
        </w:rPr>
      </w:pPr>
      <w:r>
        <w:rPr>
          <w:sz w:val="24"/>
        </w:rPr>
        <w:t>Федеральный проект реализуется в рамках подпрограммы "Содействие развитию дошкольного и общего образования" проектной части государственной программы Российской Федерации "Развитие образования". В проекте отсутствуют мероприятия, совпадающие по содержанию, срокам реализации, форме поддержки, виду расходов и составу исполнителей с мероприятиями, предусмотренными другими государственными программами Российской Федерации.</w:t>
      </w:r>
    </w:p>
    <w:p>
      <w:pPr>
        <w:ind w:firstLine="709"/>
      </w:pPr>
      <w:r>
        <w:br w:type="page"/>
      </w:r>
    </w:p>
    <w:p>
      <w:pPr>
        <w:jc w:val="center"/>
      </w:pPr>
      <w:r>
        <w:lastRenderedPageBreak/>
        <w:t>Оценка обеспеченности целей и целевых показателей национального проекта</w:t>
      </w:r>
    </w:p>
    <w:p>
      <w:pPr>
        <w:spacing w:line="240" w:lineRule="atLeast"/>
        <w:rPr>
          <w:i/>
        </w:rPr>
      </w:pPr>
    </w:p>
    <w:p>
      <w:pPr>
        <w:spacing w:line="240" w:lineRule="atLeast"/>
        <w:jc w:val="right"/>
      </w:pPr>
      <w:r>
        <w:rPr>
          <w:i/>
        </w:rPr>
        <w:t>(проценты</w:t>
      </w:r>
      <w:proofErr w:type="gramStart"/>
      <w:r>
        <w:rPr>
          <w:i/>
        </w:rPr>
        <w:t>, %</w:t>
      </w:r>
      <w:r>
        <w:t>)</w:t>
      </w:r>
      <w:proofErr w:type="gramEnd"/>
    </w:p>
    <w:p>
      <w:pPr>
        <w:spacing w:line="120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409"/>
        <w:gridCol w:w="2552"/>
        <w:gridCol w:w="3056"/>
      </w:tblGrid>
      <w:tr>
        <w:trPr>
          <w:cantSplit/>
          <w:tblHeader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Средневзвешенный результат Российской Федерации в группе международных исследований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Место России в мире по присутствию университетов в ТОП-500 глобальных рейтингов университетов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Численность обучающихся, вовлеченных в деятельность общественных объединений, в т.ч. волонтерских и добровольческих</w:t>
            </w:r>
          </w:p>
        </w:tc>
      </w:tr>
      <w:tr>
        <w:trPr>
          <w:cantSplit/>
          <w:tblHeader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eastAsia="Calibri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eastAsia="Calibri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eastAsia="Calibri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eastAsia="Calibri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rFonts w:eastAsia="Calibri"/>
                <w:szCs w:val="22"/>
              </w:rPr>
            </w:pPr>
          </w:p>
        </w:tc>
      </w:tr>
      <w:tr>
        <w:trPr>
          <w:cantSplit/>
        </w:trPr>
        <w:tc>
          <w:tcPr>
            <w:tcW w:w="521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Во всех субъектах Российской Федерации внедрена система аттестации руководителей общеобразовательных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2</w:t>
            </w:r>
          </w:p>
        </w:tc>
      </w:tr>
      <w:tr>
        <w:trPr>
          <w:cantSplit/>
        </w:trPr>
        <w:tc>
          <w:tcPr>
            <w:tcW w:w="521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 xml:space="preserve"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</w:t>
            </w:r>
          </w:p>
        </w:tc>
        <w:tc>
          <w:tcPr>
            <w:tcW w:w="2694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5</w:t>
            </w:r>
          </w:p>
        </w:tc>
        <w:tc>
          <w:tcPr>
            <w:tcW w:w="3056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5</w:t>
            </w:r>
          </w:p>
        </w:tc>
      </w:tr>
      <w:tr>
        <w:trPr>
          <w:cantSplit/>
        </w:trPr>
        <w:tc>
          <w:tcPr>
            <w:tcW w:w="5211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left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 xml:space="preserve">Не менее 50 процентов педагогических работников системы общего, дополнительного и профессионального образования повысили уровень профессионального мастерства в форматах </w:t>
            </w:r>
            <w:r>
              <w:rPr>
                <w:rFonts w:eastAsia="Arial Unicode MS"/>
                <w:i/>
                <w:iCs/>
                <w:sz w:val="24"/>
                <w:szCs w:val="22"/>
                <w:bdr w:val="nil"/>
              </w:rPr>
              <w:t>непрерывного образования</w:t>
            </w:r>
          </w:p>
        </w:tc>
        <w:tc>
          <w:tcPr>
            <w:tcW w:w="2694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3</w:t>
            </w:r>
          </w:p>
        </w:tc>
        <w:tc>
          <w:tcPr>
            <w:tcW w:w="3056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5</w:t>
            </w:r>
          </w:p>
        </w:tc>
      </w:tr>
      <w:tr>
        <w:trPr>
          <w:cantSplit/>
        </w:trPr>
        <w:tc>
          <w:tcPr>
            <w:tcW w:w="521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lastRenderedPageBreak/>
              <w:t xml:space="preserve">Введена </w:t>
            </w:r>
            <w:r>
              <w:rPr>
                <w:rFonts w:eastAsia="Arial Unicode MS"/>
                <w:i/>
                <w:iCs/>
                <w:sz w:val="24"/>
                <w:szCs w:val="22"/>
                <w:bdr w:val="nil"/>
              </w:rPr>
              <w:t>национальная</w:t>
            </w:r>
            <w:r>
              <w:rPr>
                <w:rFonts w:eastAsia="Arial Unicode MS"/>
                <w:sz w:val="24"/>
                <w:szCs w:val="22"/>
                <w:bdr w:val="nil"/>
              </w:rPr>
              <w:t xml:space="preserve"> </w:t>
            </w:r>
            <w:r>
              <w:rPr>
                <w:rFonts w:eastAsia="Arial Unicode MS"/>
                <w:i/>
                <w:iCs/>
                <w:sz w:val="24"/>
                <w:szCs w:val="22"/>
                <w:bdr w:val="nil"/>
              </w:rPr>
              <w:t>система учительского роста</w:t>
            </w:r>
            <w:r>
              <w:rPr>
                <w:rFonts w:eastAsia="Arial Unicode MS"/>
                <w:sz w:val="24"/>
                <w:szCs w:val="22"/>
                <w:bdr w:val="nil"/>
              </w:rPr>
              <w:t xml:space="preserve">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</w:t>
            </w:r>
          </w:p>
        </w:tc>
      </w:tr>
      <w:tr>
        <w:trPr>
          <w:cantSplit/>
        </w:trPr>
        <w:tc>
          <w:tcPr>
            <w:tcW w:w="521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Не менее 10 процентов педагогических работников системы общего и дополнительного образования детей прошли добровольную независимую оценку профессиональной квалификации</w:t>
            </w:r>
          </w:p>
        </w:tc>
        <w:tc>
          <w:tcPr>
            <w:tcW w:w="2694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0</w:t>
            </w:r>
          </w:p>
        </w:tc>
        <w:tc>
          <w:tcPr>
            <w:tcW w:w="3056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0</w:t>
            </w:r>
          </w:p>
        </w:tc>
      </w:tr>
      <w:tr>
        <w:trPr>
          <w:cantSplit/>
        </w:trPr>
        <w:tc>
          <w:tcPr>
            <w:tcW w:w="5211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Не менее 70 процентов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2694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5</w:t>
            </w:r>
          </w:p>
        </w:tc>
        <w:tc>
          <w:tcPr>
            <w:tcW w:w="3056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3</w:t>
            </w:r>
          </w:p>
        </w:tc>
      </w:tr>
      <w:tr>
        <w:trPr>
          <w:cantSplit/>
        </w:trPr>
        <w:tc>
          <w:tcPr>
            <w:tcW w:w="5211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left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17</w:t>
            </w:r>
          </w:p>
        </w:tc>
        <w:tc>
          <w:tcPr>
            <w:tcW w:w="3056" w:type="dxa"/>
            <w:shd w:val="clear" w:color="auto" w:fill="auto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tLeast"/>
              <w:jc w:val="center"/>
              <w:rPr>
                <w:rFonts w:eastAsia="Arial Unicode MS"/>
                <w:sz w:val="24"/>
                <w:szCs w:val="22"/>
                <w:bdr w:val="nil"/>
              </w:rPr>
            </w:pPr>
            <w:r>
              <w:rPr>
                <w:rFonts w:eastAsia="Arial Unicode MS"/>
                <w:sz w:val="24"/>
                <w:szCs w:val="22"/>
                <w:bdr w:val="nil"/>
              </w:rPr>
              <w:t>16</w:t>
            </w:r>
          </w:p>
        </w:tc>
      </w:tr>
    </w:tbl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</w:pPr>
      <w:r>
        <w:t>___________</w:t>
      </w:r>
    </w:p>
    <w:sectPr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/>
      <w:pgMar w:top="1134" w:right="567" w:bottom="1134" w:left="567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20B06040202020202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C037423"/>
    <w:multiLevelType w:val="hybridMultilevel"/>
    <w:tmpl w:val="8C0421BC"/>
    <w:lvl w:ilvl="0" w:tplc="82660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3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5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9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1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2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47674A"/>
    <w:multiLevelType w:val="hybridMultilevel"/>
    <w:tmpl w:val="EA58DF96"/>
    <w:lvl w:ilvl="0" w:tplc="DB828D58">
      <w:start w:val="5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4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6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8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33"/>
  </w:num>
  <w:num w:numId="5">
    <w:abstractNumId w:val="18"/>
  </w:num>
  <w:num w:numId="6">
    <w:abstractNumId w:val="23"/>
  </w:num>
  <w:num w:numId="7">
    <w:abstractNumId w:val="35"/>
  </w:num>
  <w:num w:numId="8">
    <w:abstractNumId w:val="4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8"/>
  </w:num>
  <w:num w:numId="14">
    <w:abstractNumId w:val="27"/>
  </w:num>
  <w:num w:numId="15">
    <w:abstractNumId w:val="22"/>
  </w:num>
  <w:num w:numId="16">
    <w:abstractNumId w:val="7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  <w:num w:numId="21">
    <w:abstractNumId w:val="34"/>
  </w:num>
  <w:num w:numId="22">
    <w:abstractNumId w:val="31"/>
  </w:num>
  <w:num w:numId="23">
    <w:abstractNumId w:val="10"/>
  </w:num>
  <w:num w:numId="24">
    <w:abstractNumId w:val="38"/>
  </w:num>
  <w:num w:numId="25">
    <w:abstractNumId w:val="36"/>
  </w:num>
  <w:num w:numId="26">
    <w:abstractNumId w:val="37"/>
  </w:num>
  <w:num w:numId="27">
    <w:abstractNumId w:val="24"/>
  </w:num>
  <w:num w:numId="28">
    <w:abstractNumId w:val="6"/>
  </w:num>
  <w:num w:numId="29">
    <w:abstractNumId w:val="29"/>
  </w:num>
  <w:num w:numId="30">
    <w:abstractNumId w:val="3"/>
  </w:num>
  <w:num w:numId="31">
    <w:abstractNumId w:val="5"/>
  </w:num>
  <w:num w:numId="32">
    <w:abstractNumId w:val="1"/>
  </w:num>
  <w:num w:numId="33">
    <w:abstractNumId w:val="20"/>
  </w:num>
  <w:num w:numId="34">
    <w:abstractNumId w:val="32"/>
  </w:num>
  <w:num w:numId="35">
    <w:abstractNumId w:val="13"/>
  </w:num>
  <w:num w:numId="36">
    <w:abstractNumId w:val="25"/>
  </w:num>
  <w:num w:numId="37">
    <w:abstractNumId w:val="26"/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character" w:customStyle="1" w:styleId="10">
    <w:name w:val="Заголовок 1 Знак"/>
    <w:link w:val="1"/>
    <w:rPr>
      <w:rFonts w:ascii="Cambria" w:hAnsi="Cambria"/>
      <w:b/>
      <w:color w:val="365F91"/>
      <w:sz w:val="28"/>
    </w:rPr>
  </w:style>
  <w:style w:type="paragraph" w:styleId="a8">
    <w:name w:val="List Paragraph"/>
    <w:uiPriority w:val="34"/>
    <w:qFormat/>
    <w:pPr>
      <w:spacing w:after="160" w:line="259" w:lineRule="auto"/>
      <w:ind w:left="720"/>
    </w:pPr>
    <w:rPr>
      <w:rFonts w:ascii="Calibri" w:hAnsi="Calibri"/>
      <w:sz w:val="22"/>
    </w:rPr>
  </w:style>
  <w:style w:type="paragraph" w:styleId="a9">
    <w:name w:val="annotation text"/>
    <w:link w:val="aa"/>
    <w:pPr>
      <w:jc w:val="both"/>
    </w:pPr>
    <w:rPr>
      <w:rFonts w:ascii="Times New Roman" w:hAnsi="Times New Roman"/>
    </w:rPr>
  </w:style>
  <w:style w:type="character" w:customStyle="1" w:styleId="aa">
    <w:name w:val="Текст примечания Знак"/>
    <w:link w:val="a9"/>
    <w:rPr>
      <w:rFonts w:ascii="Times New Roman" w:hAnsi="Times New Roman"/>
    </w:rPr>
  </w:style>
  <w:style w:type="character" w:customStyle="1" w:styleId="a4">
    <w:name w:val="Верхний колонтитул Знак"/>
    <w:link w:val="a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paragraph" w:styleId="ab">
    <w:name w:val="Balloon Text"/>
    <w:link w:val="ac"/>
    <w:pPr>
      <w:jc w:val="both"/>
    </w:pPr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styleId="ad">
    <w:name w:val="Normal (Web)"/>
    <w:pPr>
      <w:spacing w:before="100" w:after="100"/>
    </w:pPr>
    <w:rPr>
      <w:rFonts w:ascii="Times New Roman" w:hAnsi="Times New Roman"/>
      <w:sz w:val="24"/>
    </w:rPr>
  </w:style>
  <w:style w:type="paragraph" w:styleId="ae">
    <w:name w:val="annotation subject"/>
    <w:link w:val="af"/>
    <w:pPr>
      <w:jc w:val="both"/>
    </w:pPr>
    <w:rPr>
      <w:rFonts w:ascii="Times New Roman" w:hAnsi="Times New Roman"/>
      <w:b/>
    </w:rPr>
  </w:style>
  <w:style w:type="character" w:customStyle="1" w:styleId="af">
    <w:name w:val="Тема примечания Знак"/>
    <w:link w:val="ae"/>
    <w:rPr>
      <w:rFonts w:ascii="Times New Roman" w:hAnsi="Times New Roman"/>
      <w:b/>
    </w:rPr>
  </w:style>
  <w:style w:type="paragraph" w:styleId="af0">
    <w:name w:val="footnote text"/>
    <w:link w:val="af1"/>
    <w:pPr>
      <w:spacing w:line="360" w:lineRule="atLeast"/>
      <w:jc w:val="both"/>
    </w:pPr>
    <w:rPr>
      <w:rFonts w:ascii="Times New Roman" w:hAnsi="Times New Roman"/>
    </w:rPr>
  </w:style>
  <w:style w:type="character" w:customStyle="1" w:styleId="af1">
    <w:name w:val="Текст сноски Знак"/>
    <w:link w:val="af0"/>
    <w:rPr>
      <w:rFonts w:ascii="Times New Roman" w:hAnsi="Times New Roman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footnote reference"/>
    <w:uiPriority w:val="99"/>
    <w:unhideWhenUsed/>
    <w:rPr>
      <w:vertAlign w:val="superscript"/>
    </w:rPr>
  </w:style>
  <w:style w:type="character" w:styleId="af4">
    <w:name w:val="annotation reference"/>
    <w:uiPriority w:val="99"/>
    <w:unhideWhenUsed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endnote text"/>
    <w:basedOn w:val="a"/>
    <w:link w:val="af6"/>
    <w:uiPriority w:val="99"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rFonts w:ascii="Times New Roman" w:hAnsi="Times New Roman"/>
    </w:rPr>
  </w:style>
  <w:style w:type="character" w:styleId="af7">
    <w:name w:val="endnote reference"/>
    <w:uiPriority w:val="99"/>
    <w:unhideWhenUsed/>
    <w:rPr>
      <w:vertAlign w:val="superscript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table" w:styleId="af9">
    <w:name w:val="Table Grid"/>
    <w:basedOn w:val="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link w:val="10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  <w:uiPriority w:val="99"/>
  </w:style>
  <w:style w:type="character" w:customStyle="1" w:styleId="10">
    <w:name w:val="Заголовок 1 Знак"/>
    <w:link w:val="1"/>
    <w:rPr>
      <w:rFonts w:ascii="Cambria" w:hAnsi="Cambria"/>
      <w:b/>
      <w:color w:val="365F91"/>
      <w:sz w:val="28"/>
    </w:rPr>
  </w:style>
  <w:style w:type="paragraph" w:styleId="a8">
    <w:name w:val="List Paragraph"/>
    <w:uiPriority w:val="34"/>
    <w:qFormat/>
    <w:pPr>
      <w:spacing w:after="160" w:line="259" w:lineRule="auto"/>
      <w:ind w:left="720"/>
    </w:pPr>
    <w:rPr>
      <w:rFonts w:ascii="Calibri" w:hAnsi="Calibri"/>
      <w:sz w:val="22"/>
    </w:rPr>
  </w:style>
  <w:style w:type="paragraph" w:styleId="a9">
    <w:name w:val="annotation text"/>
    <w:link w:val="aa"/>
    <w:pPr>
      <w:jc w:val="both"/>
    </w:pPr>
    <w:rPr>
      <w:rFonts w:ascii="Times New Roman" w:hAnsi="Times New Roman"/>
    </w:rPr>
  </w:style>
  <w:style w:type="character" w:customStyle="1" w:styleId="aa">
    <w:name w:val="Текст примечания Знак"/>
    <w:link w:val="a9"/>
    <w:rPr>
      <w:rFonts w:ascii="Times New Roman" w:hAnsi="Times New Roman"/>
    </w:rPr>
  </w:style>
  <w:style w:type="character" w:customStyle="1" w:styleId="a4">
    <w:name w:val="Верхний колонтитул Знак"/>
    <w:link w:val="a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paragraph" w:styleId="ab">
    <w:name w:val="Balloon Text"/>
    <w:link w:val="ac"/>
    <w:pPr>
      <w:jc w:val="both"/>
    </w:pPr>
    <w:rPr>
      <w:rFonts w:ascii="Tahoma" w:hAnsi="Tahoma"/>
      <w:sz w:val="16"/>
    </w:rPr>
  </w:style>
  <w:style w:type="character" w:customStyle="1" w:styleId="ac">
    <w:name w:val="Текст выноски Знак"/>
    <w:link w:val="ab"/>
    <w:rPr>
      <w:rFonts w:ascii="Tahoma" w:hAnsi="Tahoma"/>
      <w:sz w:val="16"/>
    </w:rPr>
  </w:style>
  <w:style w:type="paragraph" w:customStyle="1" w:styleId="Default">
    <w:name w:val="Default"/>
    <w:rPr>
      <w:rFonts w:ascii="Times New Roman" w:hAnsi="Times New Roman"/>
      <w:color w:val="000000"/>
      <w:sz w:val="24"/>
    </w:rPr>
  </w:style>
  <w:style w:type="paragraph" w:styleId="ad">
    <w:name w:val="Normal (Web)"/>
    <w:pPr>
      <w:spacing w:before="100" w:after="100"/>
    </w:pPr>
    <w:rPr>
      <w:rFonts w:ascii="Times New Roman" w:hAnsi="Times New Roman"/>
      <w:sz w:val="24"/>
    </w:rPr>
  </w:style>
  <w:style w:type="paragraph" w:styleId="ae">
    <w:name w:val="annotation subject"/>
    <w:link w:val="af"/>
    <w:pPr>
      <w:jc w:val="both"/>
    </w:pPr>
    <w:rPr>
      <w:rFonts w:ascii="Times New Roman" w:hAnsi="Times New Roman"/>
      <w:b/>
    </w:rPr>
  </w:style>
  <w:style w:type="character" w:customStyle="1" w:styleId="af">
    <w:name w:val="Тема примечания Знак"/>
    <w:link w:val="ae"/>
    <w:rPr>
      <w:rFonts w:ascii="Times New Roman" w:hAnsi="Times New Roman"/>
      <w:b/>
    </w:rPr>
  </w:style>
  <w:style w:type="paragraph" w:styleId="af0">
    <w:name w:val="footnote text"/>
    <w:link w:val="af1"/>
    <w:pPr>
      <w:spacing w:line="360" w:lineRule="atLeast"/>
      <w:jc w:val="both"/>
    </w:pPr>
    <w:rPr>
      <w:rFonts w:ascii="Times New Roman" w:hAnsi="Times New Roman"/>
    </w:rPr>
  </w:style>
  <w:style w:type="character" w:customStyle="1" w:styleId="af1">
    <w:name w:val="Текст сноски Знак"/>
    <w:link w:val="af0"/>
    <w:rPr>
      <w:rFonts w:ascii="Times New Roman" w:hAnsi="Times New Roman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footnote reference"/>
    <w:uiPriority w:val="99"/>
    <w:unhideWhenUsed/>
    <w:rPr>
      <w:vertAlign w:val="superscript"/>
    </w:rPr>
  </w:style>
  <w:style w:type="character" w:styleId="af4">
    <w:name w:val="annotation reference"/>
    <w:uiPriority w:val="99"/>
    <w:unhideWhenUsed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endnote text"/>
    <w:basedOn w:val="a"/>
    <w:link w:val="af6"/>
    <w:uiPriority w:val="99"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rFonts w:ascii="Times New Roman" w:hAnsi="Times New Roman"/>
    </w:rPr>
  </w:style>
  <w:style w:type="character" w:styleId="af7">
    <w:name w:val="endnote reference"/>
    <w:uiPriority w:val="99"/>
    <w:unhideWhenUsed/>
    <w:rPr>
      <w:vertAlign w:val="superscript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По умолчанию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table" w:styleId="af9">
    <w:name w:val="Table Grid"/>
    <w:basedOn w:val="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rcokio.ru/pics/uploads/OKO/1.%20PIRLS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d.rcokio.ru/pics/uploads/OKO/3.%20TIM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rcokio.ru/pics/uploads/OKO/4.%20PIS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44823</CharactersWithSpaces>
  <SharedDoc>false</SharedDoc>
  <HLinks>
    <vt:vector size="18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http://old.rcokio.ru/pics/uploads/OKO/3. TIMSS.pdf</vt:lpwstr>
      </vt:variant>
      <vt:variant>
        <vt:lpwstr/>
      </vt:variant>
      <vt:variant>
        <vt:i4>4456460</vt:i4>
      </vt:variant>
      <vt:variant>
        <vt:i4>3</vt:i4>
      </vt:variant>
      <vt:variant>
        <vt:i4>0</vt:i4>
      </vt:variant>
      <vt:variant>
        <vt:i4>5</vt:i4>
      </vt:variant>
      <vt:variant>
        <vt:lpwstr>http://old.rcokio.ru/pics/uploads/OKO/4. PISA.pdf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http://old.rcokio.ru/pics/uploads/OKO/1. PIRLS.pdf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defusr</cp:lastModifiedBy>
  <cp:revision>4</cp:revision>
  <dcterms:created xsi:type="dcterms:W3CDTF">2018-12-10T16:44:00Z</dcterms:created>
  <dcterms:modified xsi:type="dcterms:W3CDTF">2018-12-10T18:05:00Z</dcterms:modified>
</cp:coreProperties>
</file>